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A8CC5">
      <w:pPr>
        <w:pStyle w:val="2"/>
        <w:numPr>
          <w:ilvl w:val="0"/>
          <w:numId w:val="0"/>
        </w:numPr>
        <w:jc w:val="center"/>
        <w:rPr>
          <w:lang w:val="en-US"/>
        </w:rPr>
      </w:pPr>
      <w:r>
        <w:rPr>
          <w:rFonts w:hint="eastAsia"/>
        </w:rPr>
        <w:t>厦门</w:t>
      </w:r>
      <w:r>
        <w:rPr>
          <w:rFonts w:hint="eastAsia"/>
          <w:lang w:val="en-US"/>
        </w:rPr>
        <w:t>金龙旅行车有限公司QMS质量</w:t>
      </w:r>
      <w:r>
        <w:rPr>
          <w:rFonts w:hint="eastAsia"/>
        </w:rPr>
        <w:t>管理系统项目</w:t>
      </w:r>
      <w:r>
        <w:rPr>
          <w:rFonts w:hint="eastAsia"/>
          <w:lang w:val="en-US"/>
        </w:rPr>
        <w:t>招标技术要求说明</w:t>
      </w:r>
    </w:p>
    <w:p w14:paraId="45296A2D">
      <w:pPr>
        <w:pStyle w:val="3"/>
      </w:pPr>
      <w:r>
        <w:rPr>
          <w:rFonts w:hint="eastAsia"/>
        </w:rPr>
        <w:t>业务范围</w:t>
      </w:r>
    </w:p>
    <w:p w14:paraId="40E358B0">
      <w:pPr>
        <w:spacing w:before="0" w:after="0" w:line="500" w:lineRule="exact"/>
        <w:ind w:firstLine="442"/>
        <w:jc w:val="both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本次项目招标，由乙方负责项目</w:t>
      </w:r>
      <w:r>
        <w:rPr>
          <w:rFonts w:hint="eastAsia" w:ascii="仿宋" w:hAnsi="仿宋" w:eastAsia="仿宋"/>
          <w:color w:val="auto"/>
          <w:sz w:val="24"/>
          <w:szCs w:val="24"/>
          <w:lang w:val="en-US"/>
        </w:rPr>
        <w:t>开发及实施</w:t>
      </w:r>
      <w:r>
        <w:rPr>
          <w:rFonts w:hint="eastAsia" w:ascii="仿宋" w:hAnsi="仿宋" w:eastAsia="仿宋"/>
          <w:color w:val="auto"/>
          <w:sz w:val="24"/>
          <w:szCs w:val="24"/>
        </w:rPr>
        <w:t>的全部内容，包含流程梳理、解决方案设计、功能模块设计</w:t>
      </w:r>
      <w:r>
        <w:rPr>
          <w:rFonts w:hint="eastAsia" w:ascii="仿宋" w:hAnsi="仿宋" w:eastAsia="仿宋"/>
          <w:color w:val="auto"/>
          <w:sz w:val="24"/>
          <w:szCs w:val="24"/>
          <w:lang w:val="en-US"/>
        </w:rPr>
        <w:t>及开发</w:t>
      </w:r>
      <w:r>
        <w:rPr>
          <w:rFonts w:hint="eastAsia" w:ascii="仿宋" w:hAnsi="仿宋" w:eastAsia="仿宋"/>
          <w:color w:val="auto"/>
          <w:sz w:val="24"/>
          <w:szCs w:val="24"/>
        </w:rPr>
        <w:t>、系统测试、数据整理、用户培训、运维支持等工作。</w:t>
      </w:r>
    </w:p>
    <w:p w14:paraId="13BC88F9">
      <w:pPr>
        <w:spacing w:before="0" w:after="0" w:line="500" w:lineRule="exact"/>
        <w:ind w:firstLine="442"/>
        <w:jc w:val="both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业务功能模块：</w:t>
      </w:r>
      <w:r>
        <w:rPr>
          <w:rFonts w:hint="eastAsia" w:ascii="仿宋" w:hAnsi="仿宋" w:eastAsia="仿宋"/>
          <w:color w:val="auto"/>
          <w:sz w:val="24"/>
          <w:szCs w:val="24"/>
          <w:lang w:val="en-US"/>
        </w:rPr>
        <w:t>来料检验、过程/整车检验、质量计划、质量改进、供应商供货质量评价、合格证管理、检验设备（检具及工量器具管理）等的数据采集、追溯，以及支撑体系文件与内审的运行管理</w:t>
      </w:r>
      <w:r>
        <w:rPr>
          <w:rFonts w:hint="eastAsia" w:ascii="仿宋" w:hAnsi="仿宋" w:eastAsia="仿宋"/>
          <w:color w:val="auto"/>
          <w:sz w:val="24"/>
          <w:szCs w:val="24"/>
        </w:rPr>
        <w:t>。</w:t>
      </w:r>
    </w:p>
    <w:p w14:paraId="464711C2">
      <w:pPr>
        <w:spacing w:line="360" w:lineRule="auto"/>
        <w:ind w:firstLine="480" w:firstLineChars="200"/>
        <w:jc w:val="both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具体项目</w:t>
      </w:r>
      <w:r>
        <w:rPr>
          <w:rFonts w:hint="eastAsia" w:ascii="仿宋" w:hAnsi="仿宋" w:eastAsia="仿宋"/>
          <w:color w:val="auto"/>
          <w:sz w:val="24"/>
          <w:szCs w:val="24"/>
          <w:lang w:val="en-US"/>
        </w:rPr>
        <w:t>开发</w:t>
      </w:r>
      <w:r>
        <w:rPr>
          <w:rFonts w:hint="eastAsia" w:ascii="仿宋" w:hAnsi="仿宋" w:eastAsia="仿宋"/>
          <w:color w:val="auto"/>
          <w:sz w:val="24"/>
          <w:szCs w:val="24"/>
        </w:rPr>
        <w:t>涉及的系统功能包括但不局限于下表清单。</w:t>
      </w:r>
    </w:p>
    <w:tbl>
      <w:tblPr>
        <w:tblStyle w:val="6"/>
        <w:tblW w:w="8302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7"/>
        <w:gridCol w:w="1535"/>
        <w:gridCol w:w="240"/>
        <w:gridCol w:w="5380"/>
      </w:tblGrid>
      <w:tr w14:paraId="13EE29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1987BF">
            <w:pPr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一级目录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A3F00">
            <w:pPr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二级目录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5FAB93">
            <w:pPr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　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183245">
            <w:pPr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说明</w:t>
            </w:r>
          </w:p>
        </w:tc>
      </w:tr>
      <w:tr w14:paraId="356798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55CC344">
            <w:pPr>
              <w:spacing w:before="0" w:after="0" w:line="240" w:lineRule="auto"/>
              <w:jc w:val="center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基础数据管理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C26EE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用户管理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8970C1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05B625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用户权限增删改查</w:t>
            </w:r>
          </w:p>
        </w:tc>
      </w:tr>
      <w:tr w14:paraId="258B40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748341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9DA385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组织人员</w:t>
            </w:r>
          </w:p>
          <w:p w14:paraId="71B333A6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　</w:t>
            </w: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005349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03CC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组织管理</w:t>
            </w:r>
          </w:p>
        </w:tc>
      </w:tr>
      <w:tr w14:paraId="04303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F60CC4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AD7BA8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992931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2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490CA4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组织关系图</w:t>
            </w:r>
          </w:p>
        </w:tc>
      </w:tr>
      <w:tr w14:paraId="5DD5B5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690A12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B7A9D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B38C65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3926E7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职务管理</w:t>
            </w:r>
          </w:p>
        </w:tc>
      </w:tr>
      <w:tr w14:paraId="12D35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E8FE1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750B58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51075EA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4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B369E1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职员管理</w:t>
            </w:r>
          </w:p>
        </w:tc>
      </w:tr>
      <w:tr w14:paraId="16DA3D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AA7DBE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系统管理</w:t>
            </w:r>
          </w:p>
        </w:tc>
        <w:tc>
          <w:tcPr>
            <w:tcW w:w="153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4AABA2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基础设置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854F70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21168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消息提醒</w:t>
            </w:r>
          </w:p>
        </w:tc>
      </w:tr>
      <w:tr w14:paraId="193A68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253022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58C097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2551DC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2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99F2DE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消息模板</w:t>
            </w:r>
          </w:p>
        </w:tc>
      </w:tr>
      <w:tr w14:paraId="103A20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066FD0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76FDD2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A3FFB0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2E91FB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用户授权管理</w:t>
            </w:r>
          </w:p>
        </w:tc>
      </w:tr>
      <w:tr w14:paraId="6CCD1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29ECD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2AFB9E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3EB443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4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888B2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角色菜单</w:t>
            </w:r>
          </w:p>
        </w:tc>
      </w:tr>
      <w:tr w14:paraId="3ECB29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662A85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4C6A59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4F7BDA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5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BDF55E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参数管理</w:t>
            </w:r>
          </w:p>
        </w:tc>
      </w:tr>
      <w:tr w14:paraId="5CD61E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407D98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1612A9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1EE756">
            <w:pPr>
              <w:spacing w:before="0" w:after="0" w:line="240" w:lineRule="auto"/>
              <w:jc w:val="right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A02D1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数据字典</w:t>
            </w:r>
          </w:p>
        </w:tc>
      </w:tr>
      <w:tr w14:paraId="1D152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8C2FF39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609784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履历查询管理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205CE3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0189C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操作履历查询</w:t>
            </w:r>
          </w:p>
        </w:tc>
      </w:tr>
      <w:tr w14:paraId="0DD2BB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3BF2566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22205A01">
            <w:pPr>
              <w:spacing w:before="0" w:after="0" w:line="24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接口管理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337C86">
            <w:pPr>
              <w:spacing w:before="0" w:after="0" w:line="240" w:lineRule="auto"/>
              <w:jc w:val="right"/>
              <w:rPr>
                <w:rFonts w:hint="default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75BAAE">
            <w:pPr>
              <w:spacing w:before="0" w:after="0" w:line="24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集成接口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管理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，预留生产、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研发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、售后等相关平台接口</w:t>
            </w:r>
          </w:p>
        </w:tc>
      </w:tr>
      <w:tr w14:paraId="62AB49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52F6BD8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 w14:paraId="76D76805">
            <w:pPr>
              <w:spacing w:before="0" w:after="0" w:line="24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A0C5B5">
            <w:pPr>
              <w:spacing w:before="0" w:after="0" w:line="240" w:lineRule="auto"/>
              <w:jc w:val="right"/>
              <w:rPr>
                <w:rFonts w:hint="default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17A303">
            <w:pPr>
              <w:spacing w:before="0" w:after="0" w:line="240" w:lineRule="auto"/>
              <w:rPr>
                <w:rFonts w:hint="default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计划调度设置</w:t>
            </w:r>
          </w:p>
        </w:tc>
      </w:tr>
      <w:tr w14:paraId="12D745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E148F11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E14717">
            <w:pPr>
              <w:spacing w:before="0" w:after="0" w:line="24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736C38">
            <w:pPr>
              <w:spacing w:before="0" w:after="0" w:line="240" w:lineRule="auto"/>
              <w:jc w:val="right"/>
              <w:rPr>
                <w:rFonts w:hint="default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6469F6">
            <w:pPr>
              <w:spacing w:before="0" w:after="0" w:line="240" w:lineRule="auto"/>
              <w:rPr>
                <w:rFonts w:hint="default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接口日志</w:t>
            </w:r>
          </w:p>
        </w:tc>
      </w:tr>
      <w:tr w14:paraId="5D2EB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D06EAD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restart"/>
            <w:tcBorders>
              <w:top w:val="nil"/>
              <w:left w:val="nil"/>
              <w:right w:val="single" w:color="auto" w:sz="4" w:space="0"/>
            </w:tcBorders>
            <w:noWrap/>
            <w:vAlign w:val="center"/>
          </w:tcPr>
          <w:p w14:paraId="268F0059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工作流管理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CF92BD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43C89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流程设计</w:t>
            </w:r>
          </w:p>
        </w:tc>
      </w:tr>
      <w:tr w14:paraId="56D5C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112490A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 w14:paraId="3643A61D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33FDE3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2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D1CA4A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流程实例管理</w:t>
            </w:r>
          </w:p>
        </w:tc>
      </w:tr>
      <w:tr w14:paraId="0C55C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ED236E9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DD0B06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76485A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68E7F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流程数据统计</w:t>
            </w:r>
          </w:p>
        </w:tc>
      </w:tr>
      <w:tr w14:paraId="388242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B8BE9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检验管理</w:t>
            </w:r>
          </w:p>
        </w:tc>
        <w:tc>
          <w:tcPr>
            <w:tcW w:w="1535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 w14:paraId="3BC0EBEB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来料检验</w:t>
            </w:r>
          </w:p>
          <w:p w14:paraId="5EBF1789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(与ERP订单、SRM入库报检联动，支持移动APP现场检验）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4ACB34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1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60114">
            <w:pPr>
              <w:spacing w:before="0" w:after="0" w:line="24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来料检验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计划</w:t>
            </w:r>
          </w:p>
        </w:tc>
      </w:tr>
      <w:tr w14:paraId="28062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9AF5B0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 w14:paraId="1C7E3B87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88BDE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2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7A9FFB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来料质检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数据汇总</w:t>
            </w:r>
          </w:p>
        </w:tc>
      </w:tr>
      <w:tr w14:paraId="4C1B7D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E95A05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 w14:paraId="6C558699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02A37E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CAA85E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不合格品通知单汇总</w:t>
            </w:r>
          </w:p>
        </w:tc>
      </w:tr>
      <w:tr w14:paraId="2552C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1792E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 w14:paraId="20D8E68E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EFC606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4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47A30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不合格品流程处置措施</w:t>
            </w:r>
          </w:p>
        </w:tc>
      </w:tr>
      <w:tr w14:paraId="045EE9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2A59F2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 w14:paraId="1A3C3B1B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39AFD3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5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2DD60">
            <w:pPr>
              <w:spacing w:before="0" w:after="0" w:line="240" w:lineRule="auto"/>
              <w:rPr>
                <w:rFonts w:hint="default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供应商质量问题管理</w:t>
            </w:r>
          </w:p>
        </w:tc>
      </w:tr>
      <w:tr w14:paraId="17CC0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3C350A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FA26B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6583D1">
            <w:pPr>
              <w:spacing w:before="0" w:after="0" w:line="240" w:lineRule="auto"/>
              <w:jc w:val="right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6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7D5D33">
            <w:pPr>
              <w:spacing w:before="0" w:after="0" w:line="240" w:lineRule="auto"/>
              <w:jc w:val="left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关键件追溯(支持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序列号或者批次号与物料号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绑定)</w:t>
            </w:r>
          </w:p>
        </w:tc>
      </w:tr>
      <w:tr w14:paraId="1E19CC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38D1A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FA51A7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过程/整车检验(自动获取技术标准及工艺文件,专控检验计划等)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550D48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1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30B715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工序检验卡数据录入</w:t>
            </w:r>
          </w:p>
        </w:tc>
      </w:tr>
      <w:tr w14:paraId="5E612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B7ADFD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678EDF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75025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2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C6FD8A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制程节点评审表数据录入</w:t>
            </w:r>
          </w:p>
        </w:tc>
      </w:tr>
      <w:tr w14:paraId="396E3A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700A0F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808ED4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2EB5F9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3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CBA618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整车AUDIT检验卡数据录入、评审报告录入</w:t>
            </w:r>
          </w:p>
        </w:tc>
      </w:tr>
      <w:tr w14:paraId="48D38F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14E036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6A00A7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16FF11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4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E5D674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整车路试、终检数据录入</w:t>
            </w:r>
          </w:p>
        </w:tc>
      </w:tr>
      <w:tr w14:paraId="2B537A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950785C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3AC2C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C7A738">
            <w:pPr>
              <w:spacing w:before="0" w:after="0" w:line="240" w:lineRule="auto"/>
              <w:jc w:val="right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5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66E22">
            <w:pPr>
              <w:spacing w:before="0" w:after="0" w:line="24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关键零部件件号、专项控制计划、合格证数据、公告一致性核查等录入</w:t>
            </w:r>
          </w:p>
        </w:tc>
      </w:tr>
      <w:tr w14:paraId="05E712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ED7A3FB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10CD9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2D1477">
            <w:pPr>
              <w:spacing w:before="0" w:after="0" w:line="240" w:lineRule="auto"/>
              <w:jc w:val="right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620AFC">
            <w:pPr>
              <w:spacing w:before="0" w:after="0" w:line="24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增加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车间确认扭力达标、装配完整的录入节点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以及不完整信息（如缺件、异常导致状态不完整）</w:t>
            </w:r>
          </w:p>
        </w:tc>
      </w:tr>
      <w:tr w14:paraId="1CB119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0210AB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1069F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DB7632">
            <w:pPr>
              <w:spacing w:before="0" w:after="0" w:line="240" w:lineRule="auto"/>
              <w:jc w:val="right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A0505">
            <w:pPr>
              <w:spacing w:before="0" w:after="0" w:line="24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预留后续增加EC扳手扭力值、油液加注数量等上传的数据的整合、分析功能</w:t>
            </w:r>
          </w:p>
        </w:tc>
      </w:tr>
      <w:tr w14:paraId="119A2F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A5E901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093D06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948DAD">
            <w:pPr>
              <w:spacing w:before="0" w:after="0" w:line="240" w:lineRule="auto"/>
              <w:jc w:val="right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26E69">
            <w:pPr>
              <w:spacing w:before="0" w:after="0" w:line="24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车身尺寸、漆膜、扭矩、四轮定位参数等关键特性实时采集</w:t>
            </w:r>
          </w:p>
        </w:tc>
      </w:tr>
      <w:tr w14:paraId="4F1427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161A7C1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E251C9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F6E909">
            <w:pPr>
              <w:spacing w:before="0" w:after="0" w:line="240" w:lineRule="auto"/>
              <w:jc w:val="right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6E7BF">
            <w:pPr>
              <w:spacing w:before="0" w:after="0" w:line="24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新能源专项检测数据采集</w:t>
            </w:r>
          </w:p>
        </w:tc>
      </w:tr>
      <w:tr w14:paraId="531862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7A4584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AF894E0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A7E65C">
            <w:pPr>
              <w:spacing w:before="0" w:after="0" w:line="240" w:lineRule="auto"/>
              <w:jc w:val="right"/>
              <w:rPr>
                <w:rFonts w:hint="default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37CCD">
            <w:pPr>
              <w:spacing w:before="0" w:after="0" w:line="240" w:lineRule="auto"/>
              <w:rPr>
                <w:rFonts w:hint="default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整车产品履历管理</w:t>
            </w:r>
          </w:p>
        </w:tc>
      </w:tr>
      <w:tr w14:paraId="08DD86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4702E7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212370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97479A">
            <w:pPr>
              <w:spacing w:before="0" w:after="0" w:line="240" w:lineRule="auto"/>
              <w:jc w:val="right"/>
              <w:rPr>
                <w:rFonts w:hint="default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AA98B2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自动计算制程质量考核指标(一次交检合格率、平均单台缺陷数)</w:t>
            </w:r>
          </w:p>
        </w:tc>
      </w:tr>
      <w:tr w14:paraId="2AB34D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FEBABC7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质量管理</w:t>
            </w:r>
          </w:p>
        </w:tc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AD36FA5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质量计划(集成）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E41CC6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1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3B7F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建立周质量控制计划、管理台账、清单</w:t>
            </w:r>
          </w:p>
        </w:tc>
      </w:tr>
      <w:tr w14:paraId="483D04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0A2A72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DEF2F06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A3850A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2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33EC5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建立订单专项控制计划</w:t>
            </w:r>
          </w:p>
        </w:tc>
      </w:tr>
      <w:tr w14:paraId="66B31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B3F8BD6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0D3A62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E066E0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3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226C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根据订单首车评审表数据生成产品质量控制计划</w:t>
            </w:r>
          </w:p>
        </w:tc>
      </w:tr>
      <w:tr w14:paraId="2E4227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E558C4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7433DD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B9746BB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4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3866B0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根据技术工艺技改通知、BOM变更等，识别并生成检验项</w:t>
            </w:r>
          </w:p>
        </w:tc>
      </w:tr>
      <w:tr w14:paraId="193F4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8D11E40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F42E015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质量改进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E9671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1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131D55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质量反馈单汇总</w:t>
            </w:r>
          </w:p>
        </w:tc>
      </w:tr>
      <w:tr w14:paraId="27FD68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9C0199B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A4120DE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7DDE79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2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8515D">
            <w:pPr>
              <w:spacing w:before="0" w:after="0" w:line="240" w:lineRule="auto"/>
              <w:rPr>
                <w:rFonts w:hint="default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质量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问题跟踪及改进</w:t>
            </w:r>
          </w:p>
        </w:tc>
      </w:tr>
      <w:tr w14:paraId="1BE068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E289ED6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47A5295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042CA9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3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A343B0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重点订单品控策划、质量重点管控表</w:t>
            </w:r>
          </w:p>
        </w:tc>
      </w:tr>
      <w:tr w14:paraId="5B876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F8BFB5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FB27E9A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9B96BC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4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4D3A02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重点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缺陷问题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预防再发生提醒</w:t>
            </w:r>
          </w:p>
        </w:tc>
      </w:tr>
      <w:tr w14:paraId="10577B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F77E95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E9AC42A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供应商供货质量评价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5B051F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1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158FF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对已签订的质保协议建立台账管理</w:t>
            </w:r>
          </w:p>
        </w:tc>
      </w:tr>
      <w:tr w14:paraId="4C751D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08D031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E007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51941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2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5067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根据来料检验建立厂家批次合格率、抽检合格率报表</w:t>
            </w:r>
          </w:p>
        </w:tc>
      </w:tr>
      <w:tr w14:paraId="3F5743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9B686D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9EC9545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A789F5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3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493C1">
            <w:pPr>
              <w:spacing w:before="0" w:after="0" w:line="240" w:lineRule="auto"/>
              <w:rPr>
                <w:rFonts w:hint="default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供应商质量问题改进</w:t>
            </w:r>
          </w:p>
        </w:tc>
      </w:tr>
      <w:tr w14:paraId="4E625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426976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1535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A6E787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869BB1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4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3CED1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供应商违约罚款、质量售前索赔等绩效数据报表</w:t>
            </w:r>
          </w:p>
        </w:tc>
      </w:tr>
      <w:tr w14:paraId="2EA779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F1EAA22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设备管理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3DA40E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检验设备管理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9FC1B4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1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73326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建立管理台账（包含部门、名称、数量、检定日期、金额）</w:t>
            </w:r>
          </w:p>
        </w:tc>
      </w:tr>
      <w:tr w14:paraId="792612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CC780CA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EB42A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检具管理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D4CB17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1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688A5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建立管理台账（包含部门、名称、数量、检定日期、金额）</w:t>
            </w:r>
          </w:p>
        </w:tc>
      </w:tr>
      <w:tr w14:paraId="491CA5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2B7A33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0CB82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工量器具管理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94B27E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1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58226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建立管理台账（包含部门、名称、数量、检定日期、金额）</w:t>
            </w:r>
          </w:p>
        </w:tc>
      </w:tr>
      <w:tr w14:paraId="58A34D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7DF54CC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文件管理</w:t>
            </w:r>
          </w:p>
        </w:tc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40EC6A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合格证管理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6A8656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1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2B670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合格证申请流程化</w:t>
            </w:r>
          </w:p>
        </w:tc>
      </w:tr>
      <w:tr w14:paraId="730D59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E3D2387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50CBC2C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体系文件管理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FEA65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1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2CCD6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支持手册/制度/指导书/记录等四级管理</w:t>
            </w:r>
          </w:p>
        </w:tc>
      </w:tr>
      <w:tr w14:paraId="2D3215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C18CEE7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89C6237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C3DB4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2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CD0CB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流程模板（草稿-审批-发布）</w:t>
            </w:r>
          </w:p>
        </w:tc>
      </w:tr>
      <w:tr w14:paraId="0D7682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D9E69A2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6C4B482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51DA3C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3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BE741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文档版本控制与引用追溯</w:t>
            </w:r>
          </w:p>
        </w:tc>
      </w:tr>
      <w:tr w14:paraId="327A47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67E96FD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1AED063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99B95B5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4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DF2F49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内审过程审核以及产品审核及整改</w:t>
            </w:r>
          </w:p>
        </w:tc>
      </w:tr>
      <w:tr w14:paraId="26C3B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1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AF4D5D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5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9298B7">
            <w:pPr>
              <w:spacing w:before="0" w:after="0" w:line="240" w:lineRule="auto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F27534">
            <w:pPr>
              <w:spacing w:before="0" w:after="0" w:line="240" w:lineRule="auto"/>
              <w:jc w:val="right"/>
              <w:rPr>
                <w:rFonts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/>
              </w:rPr>
              <w:t>5</w:t>
            </w: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18557">
            <w:pPr>
              <w:spacing w:before="0" w:after="0" w:line="240" w:lineRule="auto"/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none"/>
                <w:lang w:val="en-US" w:eastAsia="zh-CN"/>
              </w:rPr>
              <w:t>经验教训管理</w:t>
            </w:r>
          </w:p>
        </w:tc>
      </w:tr>
    </w:tbl>
    <w:p w14:paraId="280C7357">
      <w:pPr>
        <w:pStyle w:val="9"/>
        <w:spacing w:line="360" w:lineRule="auto"/>
        <w:ind w:firstLine="0" w:firstLineChars="0"/>
        <w:jc w:val="both"/>
        <w:rPr>
          <w:rFonts w:ascii="仿宋" w:hAnsi="仿宋" w:eastAsia="仿宋"/>
          <w:color w:val="FF0000"/>
          <w:highlight w:val="yellow"/>
        </w:rPr>
      </w:pPr>
    </w:p>
    <w:p w14:paraId="3B4D38F2">
      <w:pPr>
        <w:pStyle w:val="3"/>
      </w:pPr>
      <w:r>
        <w:rPr>
          <w:rFonts w:hint="eastAsia"/>
        </w:rPr>
        <w:t>服务保障</w:t>
      </w:r>
    </w:p>
    <w:p w14:paraId="7AA214A9">
      <w:pPr>
        <w:pStyle w:val="8"/>
        <w:numPr>
          <w:ilvl w:val="0"/>
          <w:numId w:val="3"/>
        </w:numPr>
        <w:spacing w:line="580" w:lineRule="exact"/>
        <w:ind w:left="426" w:leftChars="0" w:right="20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此次项目的实施地在甲方现场（厦门市湖里区金旅总部、厦门市海沧区生产基地、</w:t>
      </w:r>
      <w:r>
        <w:rPr>
          <w:rFonts w:hint="eastAsia" w:ascii="仿宋" w:hAnsi="仿宋" w:eastAsia="仿宋"/>
          <w:color w:val="auto"/>
          <w:sz w:val="24"/>
          <w:szCs w:val="24"/>
          <w:lang w:val="en-US"/>
        </w:rPr>
        <w:t>漳州市龙海港尾生产基地</w:t>
      </w:r>
      <w:r>
        <w:rPr>
          <w:rFonts w:hint="eastAsia" w:ascii="仿宋" w:hAnsi="仿宋" w:eastAsia="仿宋"/>
          <w:color w:val="auto"/>
          <w:sz w:val="24"/>
          <w:szCs w:val="24"/>
        </w:rPr>
        <w:t>），提供工作午餐，不提供住宿；</w:t>
      </w:r>
    </w:p>
    <w:p w14:paraId="39F7279D">
      <w:pPr>
        <w:pStyle w:val="8"/>
        <w:numPr>
          <w:ilvl w:val="0"/>
          <w:numId w:val="3"/>
        </w:numPr>
        <w:spacing w:line="580" w:lineRule="exact"/>
        <w:ind w:left="426" w:leftChars="0" w:right="20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项目经理需具备5年左右的项目管理经验，以及较强的沟通能力与业务梳理能力，实施顾问要有</w:t>
      </w:r>
      <w:r>
        <w:rPr>
          <w:rFonts w:hint="eastAsia" w:ascii="仿宋" w:hAnsi="仿宋" w:eastAsia="仿宋"/>
          <w:color w:val="auto"/>
          <w:sz w:val="24"/>
          <w:szCs w:val="24"/>
          <w:lang w:val="en-US"/>
        </w:rPr>
        <w:t>制造业、QMS质量管理</w:t>
      </w:r>
      <w:r>
        <w:rPr>
          <w:rFonts w:hint="eastAsia" w:ascii="仿宋" w:hAnsi="仿宋" w:eastAsia="仿宋"/>
          <w:color w:val="auto"/>
          <w:sz w:val="24"/>
          <w:szCs w:val="24"/>
        </w:rPr>
        <w:t>的相关行业经验；</w:t>
      </w:r>
    </w:p>
    <w:p w14:paraId="01319D74">
      <w:pPr>
        <w:pStyle w:val="8"/>
        <w:numPr>
          <w:ilvl w:val="0"/>
          <w:numId w:val="3"/>
        </w:numPr>
        <w:spacing w:line="580" w:lineRule="exact"/>
        <w:ind w:left="426" w:leftChars="0" w:right="20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在项目的调研、方案设计、验收、上线等阶段项目经理必须全程参与，开发阶段每周至少也要有一天在甲方现场，中途不得随意更换项目经理；</w:t>
      </w:r>
    </w:p>
    <w:p w14:paraId="049B3292">
      <w:pPr>
        <w:pStyle w:val="8"/>
        <w:numPr>
          <w:ilvl w:val="0"/>
          <w:numId w:val="3"/>
        </w:numPr>
        <w:spacing w:line="580" w:lineRule="exact"/>
        <w:ind w:left="426" w:leftChars="0" w:right="200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项目实施上线后须提供3个月现场技术保障服务及一年内的有限服务。</w:t>
      </w:r>
    </w:p>
    <w:p w14:paraId="0CE94A32">
      <w:pPr>
        <w:pStyle w:val="8"/>
        <w:spacing w:line="580" w:lineRule="exact"/>
        <w:ind w:left="6" w:leftChars="0" w:right="200"/>
        <w:rPr>
          <w:rFonts w:ascii="仿宋" w:hAnsi="仿宋" w:eastAsia="仿宋"/>
          <w:color w:val="auto"/>
          <w:sz w:val="24"/>
          <w:szCs w:val="24"/>
        </w:rPr>
      </w:pPr>
    </w:p>
    <w:p w14:paraId="18B8A8D9">
      <w:pPr>
        <w:pStyle w:val="3"/>
      </w:pPr>
      <w:bookmarkStart w:id="0" w:name="_Toc32374"/>
      <w:r>
        <w:rPr>
          <w:rFonts w:hint="eastAsia"/>
        </w:rPr>
        <w:t>项目目标</w:t>
      </w:r>
      <w:bookmarkEnd w:id="0"/>
    </w:p>
    <w:p w14:paraId="29E31D43">
      <w:pPr>
        <w:pStyle w:val="9"/>
        <w:widowControl w:val="0"/>
        <w:numPr>
          <w:ilvl w:val="0"/>
          <w:numId w:val="4"/>
        </w:numPr>
        <w:spacing w:line="360" w:lineRule="auto"/>
        <w:ind w:firstLineChars="0"/>
        <w:jc w:val="both"/>
        <w:rPr>
          <w:rFonts w:ascii="仿宋" w:hAnsi="仿宋" w:eastAsia="仿宋" w:cstheme="minorBidi"/>
          <w:kern w:val="20"/>
        </w:rPr>
      </w:pPr>
      <w:r>
        <w:rPr>
          <w:rFonts w:hint="eastAsia" w:ascii="仿宋" w:hAnsi="仿宋" w:eastAsia="仿宋" w:cstheme="minorBidi"/>
          <w:kern w:val="20"/>
        </w:rPr>
        <w:t>引入成熟的QMS质量管理平台系统，建立统一的风险数据库，实现公司质量数据的全面收集、分析、处理和共享</w:t>
      </w:r>
      <w:r>
        <w:rPr>
          <w:rFonts w:hint="eastAsia" w:ascii="仿宋" w:hAnsi="仿宋" w:eastAsia="仿宋" w:cstheme="minorBidi"/>
          <w:color w:val="auto"/>
          <w:kern w:val="20"/>
        </w:rPr>
        <w:t>、报表管理和质量监控及改善推进</w:t>
      </w:r>
      <w:r>
        <w:rPr>
          <w:rFonts w:hint="eastAsia" w:ascii="仿宋" w:hAnsi="仿宋" w:eastAsia="仿宋" w:cstheme="minorBidi"/>
          <w:kern w:val="20"/>
        </w:rPr>
        <w:t>；</w:t>
      </w:r>
    </w:p>
    <w:p w14:paraId="41C004BB">
      <w:pPr>
        <w:pStyle w:val="9"/>
        <w:widowControl w:val="0"/>
        <w:numPr>
          <w:ilvl w:val="0"/>
          <w:numId w:val="4"/>
        </w:numPr>
        <w:spacing w:line="360" w:lineRule="auto"/>
        <w:ind w:firstLineChars="0"/>
        <w:jc w:val="both"/>
        <w:rPr>
          <w:rFonts w:ascii="仿宋" w:hAnsi="仿宋" w:eastAsia="仿宋" w:cstheme="minorBidi"/>
          <w:kern w:val="20"/>
        </w:rPr>
      </w:pPr>
      <w:r>
        <w:rPr>
          <w:rFonts w:hint="eastAsia" w:ascii="仿宋" w:hAnsi="仿宋" w:eastAsia="仿宋" w:cstheme="minorBidi"/>
          <w:kern w:val="20"/>
        </w:rPr>
        <w:t>建立公司标准化、系统化的质量过程控制体系；</w:t>
      </w:r>
    </w:p>
    <w:p w14:paraId="589224C5">
      <w:pPr>
        <w:pStyle w:val="9"/>
        <w:widowControl w:val="0"/>
        <w:numPr>
          <w:ilvl w:val="0"/>
          <w:numId w:val="4"/>
        </w:numPr>
        <w:spacing w:line="360" w:lineRule="auto"/>
        <w:ind w:firstLineChars="0"/>
        <w:jc w:val="both"/>
        <w:rPr>
          <w:rFonts w:ascii="仿宋" w:hAnsi="仿宋" w:eastAsia="仿宋" w:cstheme="minorBidi"/>
          <w:kern w:val="20"/>
        </w:rPr>
      </w:pPr>
      <w:r>
        <w:rPr>
          <w:rFonts w:hint="eastAsia" w:ascii="仿宋" w:hAnsi="仿宋" w:eastAsia="仿宋" w:cstheme="minorBidi"/>
          <w:kern w:val="20"/>
          <w:lang w:val="en-US" w:eastAsia="zh-CN"/>
        </w:rPr>
        <w:t>与公司其他外围系统集成，包括但不限于OA、</w:t>
      </w:r>
      <w:bookmarkStart w:id="1" w:name="_GoBack"/>
      <w:bookmarkEnd w:id="1"/>
      <w:r>
        <w:rPr>
          <w:rFonts w:hint="eastAsia" w:ascii="仿宋" w:hAnsi="仿宋" w:eastAsia="仿宋" w:cstheme="minorBidi"/>
          <w:kern w:val="20"/>
          <w:lang w:val="en-US" w:eastAsia="zh-CN"/>
        </w:rPr>
        <w:t>PLM、SRM、LES、MES、SAP、CRM等系统；</w:t>
      </w:r>
    </w:p>
    <w:p w14:paraId="7607030B">
      <w:pPr>
        <w:pStyle w:val="9"/>
        <w:widowControl w:val="0"/>
        <w:numPr>
          <w:ilvl w:val="0"/>
          <w:numId w:val="4"/>
        </w:numPr>
        <w:spacing w:line="360" w:lineRule="auto"/>
        <w:ind w:firstLineChars="0"/>
        <w:jc w:val="both"/>
        <w:rPr>
          <w:rFonts w:ascii="仿宋" w:hAnsi="仿宋" w:eastAsia="仿宋" w:cstheme="minorBidi"/>
          <w:kern w:val="20"/>
        </w:rPr>
      </w:pPr>
      <w:r>
        <w:rPr>
          <w:rFonts w:hint="eastAsia" w:ascii="仿宋" w:hAnsi="仿宋" w:eastAsia="仿宋" w:cstheme="minorBidi"/>
          <w:kern w:val="20"/>
        </w:rPr>
        <w:t>平台支持</w:t>
      </w:r>
      <w:r>
        <w:rPr>
          <w:rFonts w:hint="eastAsia" w:ascii="仿宋" w:hAnsi="仿宋" w:eastAsia="仿宋" w:cstheme="minorBidi"/>
          <w:kern w:val="20"/>
          <w:lang w:val="en-US" w:eastAsia="zh-CN"/>
        </w:rPr>
        <w:t>移动</w:t>
      </w:r>
      <w:r>
        <w:rPr>
          <w:rFonts w:hint="eastAsia" w:ascii="仿宋" w:hAnsi="仿宋" w:eastAsia="仿宋" w:cstheme="minorBidi"/>
          <w:kern w:val="20"/>
        </w:rPr>
        <w:t>端访问，</w:t>
      </w:r>
      <w:r>
        <w:rPr>
          <w:rFonts w:hint="eastAsia" w:ascii="仿宋" w:hAnsi="仿宋" w:eastAsia="仿宋" w:cstheme="minorBidi"/>
          <w:b/>
          <w:bCs/>
          <w:kern w:val="20"/>
        </w:rPr>
        <w:t>需支持</w:t>
      </w:r>
      <w:r>
        <w:rPr>
          <w:rFonts w:hint="eastAsia" w:ascii="仿宋" w:hAnsi="仿宋" w:eastAsia="仿宋" w:cstheme="minorBidi"/>
          <w:b/>
          <w:bCs/>
          <w:kern w:val="20"/>
          <w:lang w:val="en-US" w:eastAsia="zh-CN"/>
        </w:rPr>
        <w:t>公司移动办公APP</w:t>
      </w:r>
      <w:r>
        <w:rPr>
          <w:rFonts w:hint="eastAsia" w:ascii="仿宋" w:hAnsi="仿宋" w:eastAsia="仿宋" w:cstheme="minorBidi"/>
          <w:b/>
          <w:bCs/>
          <w:kern w:val="20"/>
        </w:rPr>
        <w:t>端</w:t>
      </w:r>
      <w:r>
        <w:rPr>
          <w:rFonts w:hint="eastAsia" w:ascii="仿宋" w:hAnsi="仿宋" w:eastAsia="仿宋" w:cstheme="minorBidi"/>
          <w:b/>
          <w:bCs/>
          <w:kern w:val="20"/>
          <w:lang w:val="en-US" w:eastAsia="zh-CN"/>
        </w:rPr>
        <w:t>集成及</w:t>
      </w:r>
      <w:r>
        <w:rPr>
          <w:rFonts w:hint="eastAsia" w:ascii="仿宋" w:hAnsi="仿宋" w:eastAsia="仿宋" w:cstheme="minorBidi"/>
          <w:b/>
          <w:bCs/>
          <w:kern w:val="20"/>
        </w:rPr>
        <w:t>访问，</w:t>
      </w:r>
      <w:r>
        <w:rPr>
          <w:rFonts w:hint="eastAsia" w:ascii="仿宋" w:hAnsi="仿宋" w:eastAsia="仿宋" w:cstheme="minorBidi"/>
          <w:kern w:val="20"/>
        </w:rPr>
        <w:t>实现现场物料到货检验、抽检、现场检验设备检定、工量器具检定等移动化作业；</w:t>
      </w:r>
    </w:p>
    <w:p w14:paraId="619C4DBF">
      <w:pPr>
        <w:pStyle w:val="9"/>
        <w:widowControl w:val="0"/>
        <w:numPr>
          <w:ilvl w:val="0"/>
          <w:numId w:val="4"/>
        </w:numPr>
        <w:spacing w:line="360" w:lineRule="auto"/>
        <w:ind w:firstLineChars="0"/>
        <w:jc w:val="both"/>
      </w:pPr>
      <w:r>
        <w:rPr>
          <w:rFonts w:hint="eastAsia" w:ascii="仿宋" w:hAnsi="仿宋" w:eastAsia="仿宋" w:cstheme="minorBidi"/>
          <w:kern w:val="20"/>
        </w:rPr>
        <w:t>实现公司质量问题的快速追溯和定位，建立产品质量持续改进机制，推动质量管理水平不断提升，构建闭环整改全流程。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BA744">
    <w:pPr>
      <w:pStyle w:val="5"/>
      <w:rPr>
        <w:b/>
        <w:bCs/>
        <w:color w:val="FF0000"/>
        <w:lang w:val="en-US"/>
      </w:rPr>
    </w:pPr>
    <w:r>
      <w:rPr>
        <w:rFonts w:hint="eastAsia"/>
        <w:b/>
        <w:bCs/>
        <w:color w:val="FF0000"/>
        <w:lang w:val="en-US"/>
      </w:rPr>
      <w:t xml:space="preserve">                                                   说明书编号:**-**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785979"/>
    <w:multiLevelType w:val="multilevel"/>
    <w:tmpl w:val="11785979"/>
    <w:lvl w:ilvl="0" w:tentative="0">
      <w:start w:val="1"/>
      <w:numFmt w:val="bullet"/>
      <w:lvlText w:val=""/>
      <w:lvlJc w:val="left"/>
      <w:pPr>
        <w:ind w:left="10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4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8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3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7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00" w:hanging="420"/>
      </w:pPr>
      <w:rPr>
        <w:rFonts w:hint="default" w:ascii="Wingdings" w:hAnsi="Wingdings"/>
      </w:rPr>
    </w:lvl>
  </w:abstractNum>
  <w:abstractNum w:abstractNumId="1">
    <w:nsid w:val="4DE5052D"/>
    <w:multiLevelType w:val="multilevel"/>
    <w:tmpl w:val="4DE5052D"/>
    <w:lvl w:ilvl="0" w:tentative="0">
      <w:start w:val="1"/>
      <w:numFmt w:val="chineseCountingThousand"/>
      <w:pStyle w:val="2"/>
      <w:lvlText w:val="第%1部分 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284" w:firstLine="141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>
    <w:nsid w:val="64770021"/>
    <w:multiLevelType w:val="multilevel"/>
    <w:tmpl w:val="6477002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B4A0C11"/>
    <w:multiLevelType w:val="multilevel"/>
    <w:tmpl w:val="7B4A0C11"/>
    <w:lvl w:ilvl="0" w:tentative="0">
      <w:start w:val="1"/>
      <w:numFmt w:val="decimal"/>
      <w:pStyle w:val="3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2" w:hanging="567"/>
      </w:pPr>
    </w:lvl>
    <w:lvl w:ilvl="2" w:tentative="0">
      <w:start w:val="1"/>
      <w:numFmt w:val="decimal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5E4A"/>
    <w:rsid w:val="000F606A"/>
    <w:rsid w:val="00125E46"/>
    <w:rsid w:val="001B4D79"/>
    <w:rsid w:val="0031655D"/>
    <w:rsid w:val="003319DD"/>
    <w:rsid w:val="003F6E89"/>
    <w:rsid w:val="00691F9C"/>
    <w:rsid w:val="00901743"/>
    <w:rsid w:val="00B248C6"/>
    <w:rsid w:val="00B669C6"/>
    <w:rsid w:val="00DB12F5"/>
    <w:rsid w:val="00E75E4A"/>
    <w:rsid w:val="010C0545"/>
    <w:rsid w:val="01443F22"/>
    <w:rsid w:val="02D209DC"/>
    <w:rsid w:val="02FA54D3"/>
    <w:rsid w:val="04926B8C"/>
    <w:rsid w:val="04A26E27"/>
    <w:rsid w:val="04F62D89"/>
    <w:rsid w:val="07711DFE"/>
    <w:rsid w:val="07B45A6D"/>
    <w:rsid w:val="07FB4F74"/>
    <w:rsid w:val="084B6928"/>
    <w:rsid w:val="098B6878"/>
    <w:rsid w:val="0C0557B0"/>
    <w:rsid w:val="0C616DDD"/>
    <w:rsid w:val="0C7B22B6"/>
    <w:rsid w:val="0EAD0E5C"/>
    <w:rsid w:val="0EC51A1D"/>
    <w:rsid w:val="0F3332FD"/>
    <w:rsid w:val="10C2608D"/>
    <w:rsid w:val="10D64D2E"/>
    <w:rsid w:val="11162CD7"/>
    <w:rsid w:val="115B2D88"/>
    <w:rsid w:val="121E1726"/>
    <w:rsid w:val="12DC3AAD"/>
    <w:rsid w:val="13D80FD4"/>
    <w:rsid w:val="14321BD6"/>
    <w:rsid w:val="14AD71B7"/>
    <w:rsid w:val="15612C23"/>
    <w:rsid w:val="167721AD"/>
    <w:rsid w:val="16CF2DFA"/>
    <w:rsid w:val="174A1959"/>
    <w:rsid w:val="1C534DE0"/>
    <w:rsid w:val="1DD80D03"/>
    <w:rsid w:val="202D0C33"/>
    <w:rsid w:val="20A13715"/>
    <w:rsid w:val="216C51F8"/>
    <w:rsid w:val="22233C11"/>
    <w:rsid w:val="22786E1F"/>
    <w:rsid w:val="22CA56D0"/>
    <w:rsid w:val="232E6051"/>
    <w:rsid w:val="25706CCE"/>
    <w:rsid w:val="28B0474F"/>
    <w:rsid w:val="2ADC5BD3"/>
    <w:rsid w:val="2BEE3368"/>
    <w:rsid w:val="2DD82143"/>
    <w:rsid w:val="306B0DD0"/>
    <w:rsid w:val="319544E8"/>
    <w:rsid w:val="31F13F25"/>
    <w:rsid w:val="333D579D"/>
    <w:rsid w:val="34B32468"/>
    <w:rsid w:val="35261ABB"/>
    <w:rsid w:val="36044CAC"/>
    <w:rsid w:val="375842D9"/>
    <w:rsid w:val="389230DC"/>
    <w:rsid w:val="389820A0"/>
    <w:rsid w:val="392C1666"/>
    <w:rsid w:val="39340367"/>
    <w:rsid w:val="39867460"/>
    <w:rsid w:val="3A286675"/>
    <w:rsid w:val="3A2D2DBC"/>
    <w:rsid w:val="3AD1108C"/>
    <w:rsid w:val="3C4530CE"/>
    <w:rsid w:val="3D1F54CC"/>
    <w:rsid w:val="3DD50400"/>
    <w:rsid w:val="3E36391C"/>
    <w:rsid w:val="3FBD3924"/>
    <w:rsid w:val="40247A79"/>
    <w:rsid w:val="404427C7"/>
    <w:rsid w:val="40532D51"/>
    <w:rsid w:val="42012A59"/>
    <w:rsid w:val="42B62470"/>
    <w:rsid w:val="43A45688"/>
    <w:rsid w:val="4431603C"/>
    <w:rsid w:val="4730365B"/>
    <w:rsid w:val="48583B2F"/>
    <w:rsid w:val="48892F04"/>
    <w:rsid w:val="4B517E8D"/>
    <w:rsid w:val="4C183A1B"/>
    <w:rsid w:val="4C253AC5"/>
    <w:rsid w:val="4C34352F"/>
    <w:rsid w:val="4EDD309C"/>
    <w:rsid w:val="50F523FB"/>
    <w:rsid w:val="515C5909"/>
    <w:rsid w:val="54D84B12"/>
    <w:rsid w:val="553B6DFF"/>
    <w:rsid w:val="58926E0D"/>
    <w:rsid w:val="58FC251E"/>
    <w:rsid w:val="5A7A2D2A"/>
    <w:rsid w:val="5B9B19A9"/>
    <w:rsid w:val="5C6F4632"/>
    <w:rsid w:val="5C8026AE"/>
    <w:rsid w:val="5CD758C6"/>
    <w:rsid w:val="5DEE3BA9"/>
    <w:rsid w:val="5E631B56"/>
    <w:rsid w:val="5F5E109E"/>
    <w:rsid w:val="5FC627A0"/>
    <w:rsid w:val="62B86D17"/>
    <w:rsid w:val="63100901"/>
    <w:rsid w:val="638F1633"/>
    <w:rsid w:val="63BB2119"/>
    <w:rsid w:val="644A6117"/>
    <w:rsid w:val="64E42A92"/>
    <w:rsid w:val="65314B0E"/>
    <w:rsid w:val="65CF5422"/>
    <w:rsid w:val="660D74A9"/>
    <w:rsid w:val="6B8D0D5A"/>
    <w:rsid w:val="6CEB5F3B"/>
    <w:rsid w:val="6D155306"/>
    <w:rsid w:val="6D3135B1"/>
    <w:rsid w:val="6EF530A1"/>
    <w:rsid w:val="6F906926"/>
    <w:rsid w:val="6FED10A3"/>
    <w:rsid w:val="71E30DA7"/>
    <w:rsid w:val="725B5AA5"/>
    <w:rsid w:val="77FE6BE0"/>
    <w:rsid w:val="79A44820"/>
    <w:rsid w:val="7E0405CD"/>
    <w:rsid w:val="7E244E09"/>
    <w:rsid w:val="7E423935"/>
    <w:rsid w:val="7F1405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40" w:after="160" w:line="288" w:lineRule="auto"/>
    </w:pPr>
    <w:rPr>
      <w:rFonts w:asciiTheme="minorHAnsi" w:hAnsiTheme="minorHAnsi" w:eastAsiaTheme="minorEastAsia" w:cstheme="minorBidi"/>
      <w:color w:val="585858" w:themeColor="text1" w:themeTint="A6"/>
      <w:kern w:val="20"/>
      <w:lang w:val="zh-CN" w:eastAsia="zh-CN" w:bidi="ar-SA"/>
    </w:rPr>
  </w:style>
  <w:style w:type="paragraph" w:styleId="2">
    <w:name w:val="heading 1"/>
    <w:basedOn w:val="1"/>
    <w:next w:val="1"/>
    <w:qFormat/>
    <w:uiPriority w:val="1"/>
    <w:pPr>
      <w:pageBreakBefore/>
      <w:numPr>
        <w:ilvl w:val="0"/>
        <w:numId w:val="1"/>
      </w:numPr>
      <w:spacing w:before="0" w:after="360" w:line="240" w:lineRule="auto"/>
      <w:outlineLvl w:val="0"/>
    </w:pPr>
    <w:rPr>
      <w:rFonts w:ascii="微软雅黑" w:hAnsi="微软雅黑" w:eastAsia="微软雅黑"/>
      <w:sz w:val="36"/>
    </w:rPr>
  </w:style>
  <w:style w:type="paragraph" w:styleId="3">
    <w:name w:val="heading 2"/>
    <w:basedOn w:val="1"/>
    <w:next w:val="1"/>
    <w:unhideWhenUsed/>
    <w:qFormat/>
    <w:uiPriority w:val="1"/>
    <w:pPr>
      <w:keepNext/>
      <w:keepLines/>
      <w:numPr>
        <w:ilvl w:val="0"/>
        <w:numId w:val="2"/>
      </w:numPr>
      <w:spacing w:before="360" w:after="60" w:line="240" w:lineRule="auto"/>
      <w:outlineLvl w:val="1"/>
    </w:pPr>
    <w:rPr>
      <w:rFonts w:ascii="微软雅黑" w:hAnsi="微软雅黑" w:eastAsia="微软雅黑" w:cstheme="majorBidi"/>
      <w:b/>
      <w:caps/>
      <w:color w:val="1F4E79" w:themeColor="accent1" w:themeShade="80"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8">
    <w:name w:val="正文(宋体)"/>
    <w:basedOn w:val="1"/>
    <w:qFormat/>
    <w:uiPriority w:val="0"/>
    <w:pPr>
      <w:spacing w:before="0" w:after="0" w:line="276" w:lineRule="auto"/>
      <w:ind w:left="200" w:leftChars="100" w:right="100" w:rightChars="100"/>
    </w:pPr>
    <w:rPr>
      <w:rFonts w:ascii="微软雅黑" w:hAnsi="微软雅黑" w:eastAsia="微软雅黑"/>
      <w:sz w:val="21"/>
      <w:szCs w:val="21"/>
    </w:rPr>
  </w:style>
  <w:style w:type="paragraph" w:styleId="9">
    <w:name w:val="List Paragraph"/>
    <w:basedOn w:val="1"/>
    <w:qFormat/>
    <w:uiPriority w:val="34"/>
    <w:pPr>
      <w:spacing w:before="0" w:after="0" w:line="240" w:lineRule="auto"/>
      <w:ind w:firstLine="420" w:firstLineChars="200"/>
    </w:pPr>
    <w:rPr>
      <w:rFonts w:ascii="宋体" w:hAnsi="宋体" w:eastAsia="宋体" w:cs="宋体"/>
      <w:color w:val="auto"/>
      <w:kern w:val="0"/>
      <w:sz w:val="24"/>
      <w:szCs w:val="24"/>
      <w:lang w:val="en-US"/>
    </w:rPr>
  </w:style>
  <w:style w:type="character" w:customStyle="1" w:styleId="10">
    <w:name w:val="页眉 Char"/>
    <w:basedOn w:val="7"/>
    <w:link w:val="5"/>
    <w:qFormat/>
    <w:uiPriority w:val="0"/>
    <w:rPr>
      <w:color w:val="585858" w:themeColor="text1" w:themeTint="A6"/>
      <w:kern w:val="20"/>
      <w:sz w:val="18"/>
      <w:szCs w:val="18"/>
      <w:lang w:val="zh-CN"/>
    </w:rPr>
  </w:style>
  <w:style w:type="character" w:customStyle="1" w:styleId="11">
    <w:name w:val="页脚 Char"/>
    <w:basedOn w:val="7"/>
    <w:link w:val="4"/>
    <w:qFormat/>
    <w:uiPriority w:val="0"/>
    <w:rPr>
      <w:color w:val="585858" w:themeColor="text1" w:themeTint="A6"/>
      <w:kern w:val="20"/>
      <w:sz w:val="18"/>
      <w:szCs w:val="1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295</Words>
  <Characters>1688</Characters>
  <Lines>14</Lines>
  <Paragraphs>3</Paragraphs>
  <TotalTime>1475</TotalTime>
  <ScaleCrop>false</ScaleCrop>
  <LinksUpToDate>false</LinksUpToDate>
  <CharactersWithSpaces>1980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2026-01-19T07:41:00Z</dcterms:created>
  <dc:creator>a9702</dc:creator>
  <cp:lastModifiedBy>a9702</cp:lastModifiedBy>
  <dcterms:modified xsi:type="dcterms:W3CDTF">2026-01-22T09:27:13Z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25E266C567CF450F936F85EA5956F985</vt:lpwstr>
  </property>
  <property fmtid="{D5CDD505-2E9C-101B-9397-08002B2CF9AE}" pid="4" name="KSOTemplateDocerSaveRecord">
    <vt:lpwstr>eyJoZGlkIjoiNjQ4MDVlNTgwY2UyNzcwZjkyMzQ4MDc5MzFkMTAwYWQiLCJ1c2VySWQiOiIxNjcyMDI2ODMyIn0=</vt:lpwstr>
  </property>
</Properties>
</file>