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48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center"/>
        <w:textAlignment w:val="auto"/>
        <w:rPr>
          <w:rFonts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自动售货机</w:t>
      </w:r>
      <w:r>
        <w:rPr>
          <w:rFonts w:hint="eastAsia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公开招租项目</w:t>
      </w:r>
    </w:p>
    <w:p w14:paraId="3508D9D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4447AE0">
      <w:pPr>
        <w:pStyle w:val="10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资格标准：</w:t>
      </w:r>
    </w:p>
    <w:p w14:paraId="4C561639">
      <w:pPr>
        <w:pStyle w:val="10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投标人应具备独立企业法人资格，且有能力提供本招租文件所述服务的国内企业。</w:t>
      </w:r>
    </w:p>
    <w:p w14:paraId="2EEADD3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投标人有效的法人营业执照复印件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且公司成立时间在5年以上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6A55A0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3.投标人须具备食品经营资质，提供有效的食品经营许可证或食品经营者备案信息采集表复印件；</w:t>
      </w:r>
    </w:p>
    <w:p w14:paraId="3428066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投标代表应执有法定代表人的授权书（若为法定代表人直接参加投标可不需此件，但需提供法定代表人身份证复印件）；</w:t>
      </w:r>
    </w:p>
    <w:p w14:paraId="431878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本项目不接受联合体投标，不允许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转包；</w:t>
      </w:r>
    </w:p>
    <w:p w14:paraId="3466B87A">
      <w:pP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参加此项招租活动的前三年，在经营活动中没有重大违法记录的声明。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【注：“重大违法记录”指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因违法经营受到刑事处罚或责令停产停业、吊销许可证或执照、较大数额罚款（“较大数额罚款”指200万元以上的罚款）等行政处罚】</w:t>
      </w:r>
    </w:p>
    <w:p w14:paraId="2D44B5CF">
      <w:pPr>
        <w:pStyle w:val="11"/>
        <w:widowControl w:val="0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投标人所投放的自动贩卖机需有个体工商户营业执照、食品经营许可证，中标后需将营业执照、食品经营许可证彩印粘贴在自动贩卖机显眼位置，以备查验。</w:t>
      </w:r>
    </w:p>
    <w:p w14:paraId="118BDC8D">
      <w:pPr>
        <w:pStyle w:val="12"/>
        <w:numPr>
          <w:ilvl w:val="0"/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投标人须保证设备的正常运行，如有故障，须在24小时内解决。</w:t>
      </w:r>
    </w:p>
    <w:p w14:paraId="258CC28D">
      <w:pPr>
        <w:pStyle w:val="12"/>
        <w:numPr>
          <w:ilvl w:val="0"/>
          <w:numId w:val="0"/>
        </w:numPr>
        <w:spacing w:line="276" w:lineRule="auto"/>
        <w:ind w:left="21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投标人设备所售的食品须符合国家质量标准，卫生标准，且在保质期内。 投标人设备所售的食品价格原则上可随市场价格的波动而变化，但是每一种食品的单价须比市场零售价便宜。</w:t>
      </w:r>
    </w:p>
    <w:p w14:paraId="258F7F9A">
      <w:pPr>
        <w:pStyle w:val="12"/>
        <w:numPr>
          <w:ilvl w:val="0"/>
          <w:numId w:val="0"/>
        </w:numPr>
        <w:spacing w:line="276" w:lineRule="auto"/>
        <w:ind w:left="21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由于设备本身或其内部放置的商品出现质量、卫生等问题造成人员损害等安全事故的，除投标人自行承担全部责任之外，若给我司造成损失则投标人应全额赔偿，我司还有权单方决定提前终止合同。</w:t>
      </w:r>
    </w:p>
    <w:p w14:paraId="3B21A99F">
      <w:pPr>
        <w:pStyle w:val="12"/>
        <w:numPr>
          <w:ilvl w:val="0"/>
          <w:numId w:val="0"/>
        </w:numPr>
        <w:spacing w:line="276" w:lineRule="auto"/>
        <w:ind w:left="210" w:leftChars="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自动贩卖机安装区域为湖里基地、海沧基地，龙海基地（如我司工厂搬迁移机费用由投标人自行承担），安装台数以实际运营台数位准,现合同期内各厂区自动贩卖机台数，湖里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台，海沧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台，龙海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C6CF82D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招标控制价：</w:t>
      </w:r>
    </w:p>
    <w:p w14:paraId="1E9F3F73">
      <w:pPr>
        <w:pStyle w:val="12"/>
        <w:numPr>
          <w:ilvl w:val="0"/>
          <w:numId w:val="0"/>
        </w:numPr>
        <w:spacing w:line="276" w:lineRule="auto"/>
        <w:ind w:left="21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投标报价低于控制价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1158</w:t>
      </w:r>
      <w:r>
        <w:rPr>
          <w:rFonts w:hint="eastAsia" w:ascii="仿宋" w:hAnsi="仿宋" w:eastAsia="仿宋" w:cs="仿宋"/>
          <w:sz w:val="32"/>
          <w:szCs w:val="32"/>
        </w:rPr>
        <w:t>元/月/㎡，将按无效报价处理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A1F1FF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技术服务响应</w:t>
      </w:r>
    </w:p>
    <w:p w14:paraId="5E45A498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3CF2D001">
      <w:pPr>
        <w:ind w:firstLine="480" w:firstLineChars="20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根据各投标人对招租文件</w:t>
      </w: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技术服务要求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各项要求的逐项响应等方面情况由评标委员会进行评分，完全满足招租文件要求的得3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分，其中标注“★”的内容为不允许负偏离的实质性要求，其余技术参数每负偏离一项扣3分，扣完为止</w:t>
      </w:r>
    </w:p>
    <w:p w14:paraId="21AD5BB6">
      <w:pP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38300B1A">
      <w:pP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0"/>
        <w:gridCol w:w="930"/>
        <w:gridCol w:w="732"/>
      </w:tblGrid>
      <w:tr w14:paraId="2011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16BAC86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技术参数 </w:t>
            </w:r>
          </w:p>
        </w:tc>
        <w:tc>
          <w:tcPr>
            <w:tcW w:w="930" w:type="dxa"/>
          </w:tcPr>
          <w:p w14:paraId="6B0750F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32" w:type="dxa"/>
          </w:tcPr>
          <w:p w14:paraId="3DA8909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0F7E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243C1A1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① 设备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选用开门式售货机，设备内部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售卖品类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46个及以上（售卖品类涵盖：碳酸类  茶饮  乳制品 咖啡 零食 泡面 日用品等）需提供售卖清单；且设备系统需纯净度高，不允许任何形式的广告、链接出现，保护消费者权益，避免误操作的损失。</w:t>
            </w:r>
          </w:p>
        </w:tc>
        <w:tc>
          <w:tcPr>
            <w:tcW w:w="930" w:type="dxa"/>
          </w:tcPr>
          <w:p w14:paraId="5EE7C03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5762315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E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6597B5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②) 微信、支付宝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同时具备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扫码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/刷脸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结算功能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采用“动态视觉+重力感应”双重识别方案，支持多品类商品同时销售，商品乱放、倒置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放等均可精准识别，识别准确率≥99.9%，购物体验结算时间≦3秒</w:t>
            </w:r>
          </w:p>
        </w:tc>
        <w:tc>
          <w:tcPr>
            <w:tcW w:w="930" w:type="dxa"/>
          </w:tcPr>
          <w:p w14:paraId="63CF184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6C2BE01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2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1A18860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③ 单开门设备内部至少有两个摄像头,柜内上下方各一个;双开门设备内部则至少 4个摄像头，左柜上下方各一个，右柜上下方各一个;支持查询商品销售记录与每笔订单录像。双开门售货机须支持两侧同时开门购物，即左侧开门购物时，右侧门也可正常开门购物。</w:t>
            </w:r>
          </w:p>
        </w:tc>
        <w:tc>
          <w:tcPr>
            <w:tcW w:w="930" w:type="dxa"/>
          </w:tcPr>
          <w:p w14:paraId="10BC36A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621BCCC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1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07E3D63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④ 柜门采用中空钢化玻璃门，密封性能良好;使用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RFID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芯片感应防盗门锁，安装于柜门中间位置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拥有设备放入异物锁机处理机制，若出现消费者开门后放入异物或进行外来商品更换情况，可设置设备自动锁机，自动锁机后任何人无法进行购物，确保食品安全，保护员工健康</w:t>
            </w:r>
          </w:p>
        </w:tc>
        <w:tc>
          <w:tcPr>
            <w:tcW w:w="930" w:type="dxa"/>
          </w:tcPr>
          <w:p w14:paraId="286FF25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212F3A3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4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36B49C0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⑤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设备生产厂家、设备软件厂家为同一家公司，集合软硬件、算法、服务为一体，且设备系统后台购物视频应对消费者面部进行马赛克隐私安全处理，切实保护消费者隐私安全</w:t>
            </w:r>
          </w:p>
        </w:tc>
        <w:tc>
          <w:tcPr>
            <w:tcW w:w="930" w:type="dxa"/>
          </w:tcPr>
          <w:p w14:paraId="5F7E891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0AFC8B5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8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3EC22F4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⑥ 设备须提供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CQC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产品认证证书</w:t>
            </w:r>
          </w:p>
        </w:tc>
        <w:tc>
          <w:tcPr>
            <w:tcW w:w="930" w:type="dxa"/>
          </w:tcPr>
          <w:p w14:paraId="0ADEB83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4E5DBFD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F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79C1247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投入使用的设备应为全新的，设备需经生产厂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技术检验部门检验合格后方能出厂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需出具稳定性试验、跌落试验、运输试验、搁架承重试验、脚轮承重推拉测试、噪音测试、开关门试验、电插锁盐雾测试报告，确保设备的质量稳定性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0" w:type="dxa"/>
          </w:tcPr>
          <w:p w14:paraId="1B209B1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03AF7C3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1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0" w:type="dxa"/>
          </w:tcPr>
          <w:p w14:paraId="0FC301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设备均有熔断器和漏电保护插头，具有双重漏电保护机制，具备过载和短路自动跳闸功能，保证电路安全，确保人身安全</w:t>
            </w:r>
          </w:p>
          <w:p w14:paraId="3CD06EF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</w:tcPr>
          <w:p w14:paraId="5EC1113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125E8FE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D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0" w:type="dxa"/>
          </w:tcPr>
          <w:p w14:paraId="779FA77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考虑到福建台风天气的客观因素，投放场地必须同时具备多种机型(包括但不限定于重量不得少于409KG，以及配备有32寸显示购买屏的设备，以备个别点位投放，以应付复杂天气带来的安全隐患。</w:t>
            </w:r>
          </w:p>
        </w:tc>
        <w:tc>
          <w:tcPr>
            <w:tcW w:w="930" w:type="dxa"/>
          </w:tcPr>
          <w:p w14:paraId="1755684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12C67DD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9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60" w:type="dxa"/>
          </w:tcPr>
          <w:p w14:paraId="7144E74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⑩  服务商能够在售卖设备上提供定期或不定期的优惠活动方案措施，在运营中能够采取优惠活动政策或其他惠及员工服务等内容。</w:t>
            </w:r>
          </w:p>
        </w:tc>
        <w:tc>
          <w:tcPr>
            <w:tcW w:w="930" w:type="dxa"/>
          </w:tcPr>
          <w:p w14:paraId="6D826DA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5B0829B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2F855B">
      <w:pPr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1BACBC30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管理流程</w:t>
      </w:r>
    </w:p>
    <w:p w14:paraId="60C61048">
      <w:pPr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413024D7">
      <w:pPr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1F227E7B">
      <w:pPr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2"/>
        <w:gridCol w:w="990"/>
        <w:gridCol w:w="710"/>
      </w:tblGrid>
      <w:tr w14:paraId="1DE8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22" w:type="dxa"/>
          </w:tcPr>
          <w:p w14:paraId="594456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管理流程  </w:t>
            </w:r>
          </w:p>
        </w:tc>
        <w:tc>
          <w:tcPr>
            <w:tcW w:w="990" w:type="dxa"/>
          </w:tcPr>
          <w:p w14:paraId="2EC7BA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10" w:type="dxa"/>
          </w:tcPr>
          <w:p w14:paraId="7C1970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62AB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2" w:type="dxa"/>
          </w:tcPr>
          <w:p w14:paraId="7ADD3DDA">
            <w:pPr>
              <w:jc w:val="left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根据投标人提供的规章管理制度，由评标委员会进行评议并在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分之间打分，未提供的不得分</w:t>
            </w:r>
          </w:p>
        </w:tc>
        <w:tc>
          <w:tcPr>
            <w:tcW w:w="990" w:type="dxa"/>
          </w:tcPr>
          <w:p w14:paraId="5282A12F">
            <w:pPr>
              <w:jc w:val="both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 w14:paraId="193334B8">
            <w:pPr>
              <w:jc w:val="both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4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2" w:type="dxa"/>
          </w:tcPr>
          <w:p w14:paraId="502EF481">
            <w:pPr>
              <w:jc w:val="left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根据投标人制定的场所经营管理流程、员工管理流程，由评标委员会进行评议并在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分之间打分，未提供的不得分</w:t>
            </w:r>
          </w:p>
        </w:tc>
        <w:tc>
          <w:tcPr>
            <w:tcW w:w="990" w:type="dxa"/>
          </w:tcPr>
          <w:p w14:paraId="43C09C60">
            <w:pPr>
              <w:jc w:val="both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 w14:paraId="65520A89">
            <w:pPr>
              <w:jc w:val="both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9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2" w:type="dxa"/>
          </w:tcPr>
          <w:p w14:paraId="24EB6BD4">
            <w:pPr>
              <w:jc w:val="left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根据投标人货品采购渠道管理、品质保证制度，由评标委员会进行评议并在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分之间打分，未提供的不得分。</w:t>
            </w:r>
          </w:p>
        </w:tc>
        <w:tc>
          <w:tcPr>
            <w:tcW w:w="990" w:type="dxa"/>
          </w:tcPr>
          <w:p w14:paraId="555C676C">
            <w:pPr>
              <w:jc w:val="both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 w14:paraId="6C3FD0A8">
            <w:pPr>
              <w:jc w:val="both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CC24DA">
      <w:pPr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22842195">
      <w:pPr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E9D164B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应急方案</w:t>
      </w:r>
    </w:p>
    <w:p w14:paraId="26DB3C9E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7"/>
        <w:gridCol w:w="975"/>
        <w:gridCol w:w="740"/>
      </w:tblGrid>
      <w:tr w14:paraId="008E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7" w:type="dxa"/>
          </w:tcPr>
          <w:p w14:paraId="7FDD4B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应急方案  </w:t>
            </w:r>
          </w:p>
        </w:tc>
        <w:tc>
          <w:tcPr>
            <w:tcW w:w="975" w:type="dxa"/>
          </w:tcPr>
          <w:p w14:paraId="77CF0D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40" w:type="dxa"/>
          </w:tcPr>
          <w:p w14:paraId="49A82A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2532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7" w:type="dxa"/>
          </w:tcPr>
          <w:p w14:paraId="2CDBFD36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根据投标人针对本项目提供的应急预备方案(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设备厂商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具备厦门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漳州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本地办事处、配件库、服务驿站、售后专车、本地服务工程师等，具备2小时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，24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抢修能力，并提供备用售货机，不影响员工的正常购物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)，由评标委员会进行评议并在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分之间打分，未提供的不得分</w:t>
            </w:r>
          </w:p>
        </w:tc>
        <w:tc>
          <w:tcPr>
            <w:tcW w:w="975" w:type="dxa"/>
          </w:tcPr>
          <w:p w14:paraId="0B6776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0" w:type="dxa"/>
          </w:tcPr>
          <w:p w14:paraId="3F197F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242929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AA364EB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体系认证</w:t>
      </w:r>
    </w:p>
    <w:p w14:paraId="7BF44209"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0"/>
        <w:gridCol w:w="975"/>
        <w:gridCol w:w="747"/>
      </w:tblGrid>
      <w:tr w14:paraId="1553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0" w:type="dxa"/>
          </w:tcPr>
          <w:p w14:paraId="30005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体系认证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75" w:type="dxa"/>
          </w:tcPr>
          <w:p w14:paraId="02C623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47" w:type="dxa"/>
          </w:tcPr>
          <w:p w14:paraId="02A0D7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5C3A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0" w:type="dxa"/>
          </w:tcPr>
          <w:p w14:paraId="473D77F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投标人或拟投入本项目的产品制造商具有ISO9001质量管理体系认证证书</w:t>
            </w:r>
          </w:p>
        </w:tc>
        <w:tc>
          <w:tcPr>
            <w:tcW w:w="975" w:type="dxa"/>
          </w:tcPr>
          <w:p w14:paraId="24D837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7" w:type="dxa"/>
          </w:tcPr>
          <w:p w14:paraId="7BB23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1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0" w:type="dxa"/>
          </w:tcPr>
          <w:p w14:paraId="033BFB6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投标人或拟投入本项目的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产品制造商具有ISO14001环境管理体系认证证书</w:t>
            </w:r>
          </w:p>
        </w:tc>
        <w:tc>
          <w:tcPr>
            <w:tcW w:w="975" w:type="dxa"/>
          </w:tcPr>
          <w:p w14:paraId="041E40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7" w:type="dxa"/>
          </w:tcPr>
          <w:p w14:paraId="743D1D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7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0" w:type="dxa"/>
          </w:tcPr>
          <w:p w14:paraId="6482C06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投标人或拟投入本项目的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产品制造商具有ISO45001职业健康安全管理体系认证证书</w:t>
            </w:r>
          </w:p>
        </w:tc>
        <w:tc>
          <w:tcPr>
            <w:tcW w:w="975" w:type="dxa"/>
          </w:tcPr>
          <w:p w14:paraId="6CC7F9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7" w:type="dxa"/>
          </w:tcPr>
          <w:p w14:paraId="5AD32D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94F37A"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F772A94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履约经验</w:t>
      </w:r>
    </w:p>
    <w:p w14:paraId="72329389">
      <w:pPr>
        <w:jc w:val="both"/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2"/>
        <w:gridCol w:w="998"/>
        <w:gridCol w:w="732"/>
      </w:tblGrid>
      <w:tr w14:paraId="2AB7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2" w:type="dxa"/>
          </w:tcPr>
          <w:p w14:paraId="63421A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履约经验   </w:t>
            </w:r>
          </w:p>
          <w:p w14:paraId="684B97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</w:tcPr>
          <w:p w14:paraId="095947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32" w:type="dxa"/>
          </w:tcPr>
          <w:p w14:paraId="28F95F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7D34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2" w:type="dxa"/>
          </w:tcPr>
          <w:p w14:paraId="08D3799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根据投标人自2020年1月1日起至本项目投标截止时间止（日期以合同签订时间为准）正在履约或已履约完毕的同类项目情况进行评分，提供一份得1.5分，满分3分。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投标人需提供厦门漳州地区相关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单位名单以及投放自动售货机数量，出具合同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证明资料（机密信息可抹去，数量信息必须保留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8" w:type="dxa"/>
          </w:tcPr>
          <w:p w14:paraId="6EE807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</w:tcPr>
          <w:p w14:paraId="72A339E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AAD3D2"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4788789D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售后服务</w:t>
      </w:r>
    </w:p>
    <w:p w14:paraId="555FBA72"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1012"/>
        <w:gridCol w:w="725"/>
      </w:tblGrid>
      <w:tr w14:paraId="4DB4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5" w:type="dxa"/>
          </w:tcPr>
          <w:p w14:paraId="4D8F94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CA5B8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</w:tcPr>
          <w:p w14:paraId="562718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25" w:type="dxa"/>
          </w:tcPr>
          <w:p w14:paraId="2BC839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6770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5" w:type="dxa"/>
          </w:tcPr>
          <w:p w14:paraId="30575B8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根据各投标人的售后服务承诺、维护响应计划，包括具体的售后服务内容、故障响应时间、响应方式时间等方面，由评委在0-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分之间进行评议</w:t>
            </w:r>
          </w:p>
        </w:tc>
        <w:tc>
          <w:tcPr>
            <w:tcW w:w="1012" w:type="dxa"/>
          </w:tcPr>
          <w:p w14:paraId="7FB9B71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5" w:type="dxa"/>
          </w:tcPr>
          <w:p w14:paraId="16F817D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C6F4BF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078F66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-200" w:leftChars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人员配置</w:t>
      </w:r>
    </w:p>
    <w:p w14:paraId="4AA1992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tLeas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1027"/>
        <w:gridCol w:w="710"/>
      </w:tblGrid>
      <w:tr w14:paraId="4E88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5" w:type="dxa"/>
          </w:tcPr>
          <w:p w14:paraId="02FB54D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人员配置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027" w:type="dxa"/>
          </w:tcPr>
          <w:p w14:paraId="50BAA3B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10" w:type="dxa"/>
          </w:tcPr>
          <w:p w14:paraId="2D341E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7E06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5" w:type="dxa"/>
          </w:tcPr>
          <w:p w14:paraId="156B40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拟投入本项目的售后服务人员（含投标人或制造商委派的维护人员）中至少有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人具有制冷专业相关的中级（含）以上职称证书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提供复印件）</w:t>
            </w:r>
          </w:p>
        </w:tc>
        <w:tc>
          <w:tcPr>
            <w:tcW w:w="1027" w:type="dxa"/>
          </w:tcPr>
          <w:p w14:paraId="1B89842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 w14:paraId="06B6BA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0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5" w:type="dxa"/>
          </w:tcPr>
          <w:p w14:paraId="6237F64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拟投入本项目的售后服务人员（含投标人或制造商委派的维护人员）中至少有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具有机械电气专业相关的中级（含）以上职称证书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提供复印件）</w:t>
            </w:r>
          </w:p>
        </w:tc>
        <w:tc>
          <w:tcPr>
            <w:tcW w:w="1027" w:type="dxa"/>
          </w:tcPr>
          <w:p w14:paraId="16EF4CC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 w14:paraId="75765E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F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5" w:type="dxa"/>
          </w:tcPr>
          <w:p w14:paraId="67AFF8B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拟投入本项目的产品的后台维护人员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（含投标人或制造商委派的维护人员）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至少有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具有计算机软件专业相关的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中级（含）以上程序员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证书的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提供复印件）</w:t>
            </w:r>
          </w:p>
        </w:tc>
        <w:tc>
          <w:tcPr>
            <w:tcW w:w="1027" w:type="dxa"/>
          </w:tcPr>
          <w:p w14:paraId="5D4FA9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 w14:paraId="625952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B5635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tLeast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6211A758"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A3620"/>
    <w:multiLevelType w:val="singleLevel"/>
    <w:tmpl w:val="A76A3620"/>
    <w:lvl w:ilvl="0" w:tentative="0">
      <w:start w:val="2"/>
      <w:numFmt w:val="chineseCounting"/>
      <w:suff w:val="nothing"/>
      <w:lvlText w:val="%1、"/>
      <w:lvlJc w:val="left"/>
      <w:pPr>
        <w:ind w:left="-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B39D5"/>
    <w:rsid w:val="110C5F0C"/>
    <w:rsid w:val="13402BAE"/>
    <w:rsid w:val="264F0E9E"/>
    <w:rsid w:val="2EFD131E"/>
    <w:rsid w:val="39DE1BEB"/>
    <w:rsid w:val="41014CB6"/>
    <w:rsid w:val="4A8A3813"/>
    <w:rsid w:val="53F76D58"/>
    <w:rsid w:val="5BDD69CC"/>
    <w:rsid w:val="60C969EB"/>
    <w:rsid w:val="73121DD9"/>
    <w:rsid w:val="7A4E69C6"/>
    <w:rsid w:val="7D9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8">
    <w:name w:val="正文_16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_1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标准"/>
    <w:basedOn w:val="1"/>
    <w:qFormat/>
    <w:uiPriority w:val="99"/>
    <w:pPr>
      <w:spacing w:line="360" w:lineRule="auto"/>
      <w:ind w:firstLine="200" w:firstLineChars="200"/>
    </w:pPr>
    <w:rPr>
      <w:rFonts w:cs="宋体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0"/>
    <w:pPr>
      <w:widowControl w:val="0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1827</Words>
  <Characters>1861</Characters>
  <Lines>0</Lines>
  <Paragraphs>0</Paragraphs>
  <TotalTime>15</TotalTime>
  <ScaleCrop>false</ScaleCrop>
  <LinksUpToDate>false</LinksUpToDate>
  <CharactersWithSpaces>1887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2025-05-12T01:19:00Z</dcterms:created>
  <dc:creator>76753</dc:creator>
  <cp:lastModifiedBy>陈西</cp:lastModifiedBy>
  <dcterms:modified xsi:type="dcterms:W3CDTF">2025-05-17T07:29:10Z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eyJoZGlkIjoiYWQ0OTUwMTMwZTA4ODA1OTYzMjk4Y2FjYjRmYTI4YjciLCJ1c2VySWQiOiI0NDMzNDU5MzYifQ==</vt:lpwstr>
  </property>
  <property fmtid="{D5CDD505-2E9C-101B-9397-08002B2CF9AE}" pid="4" name="ICV">
    <vt:lpwstr>8B5513DADDBB43A2A4509518F40EF3AF_13</vt:lpwstr>
  </property>
</Properties>
</file>